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60" w:rsidRPr="003300C1" w:rsidRDefault="00790D53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  <w:b/>
          <w:bCs/>
          <w:lang w:val="sr-Cyrl-RS"/>
        </w:rPr>
        <w:t>З</w:t>
      </w:r>
      <w:r w:rsidR="00C2548C">
        <w:rPr>
          <w:rFonts w:eastAsia="Calibri"/>
          <w:b/>
          <w:bCs/>
          <w:lang w:val="sr"/>
        </w:rPr>
        <w:t>акључ</w:t>
      </w:r>
      <w:r>
        <w:rPr>
          <w:rFonts w:eastAsia="Calibri"/>
          <w:b/>
          <w:bCs/>
          <w:lang w:val="sr-Cyrl-RS"/>
        </w:rPr>
        <w:t xml:space="preserve">ци </w:t>
      </w:r>
      <w:r w:rsidR="00C2548C">
        <w:rPr>
          <w:rFonts w:eastAsia="Calibri"/>
          <w:lang w:val="sr"/>
        </w:rPr>
        <w:t xml:space="preserve"> </w:t>
      </w:r>
    </w:p>
    <w:p w:rsidR="00091660" w:rsidRPr="003300C1" w:rsidRDefault="00091660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="Calibri"/>
        </w:rPr>
      </w:pPr>
      <w:r>
        <w:rPr>
          <w:rFonts w:eastAsia="Calibri"/>
          <w:i/>
          <w:iCs/>
          <w:lang w:val="sr"/>
        </w:rPr>
        <w:t>Трећи међустраначки дијалог у Народној скупштини</w:t>
      </w:r>
      <w:r>
        <w:rPr>
          <w:rFonts w:eastAsia="Calibri"/>
          <w:lang w:val="sr"/>
        </w:rPr>
        <w:t xml:space="preserve"> Републике Србије</w:t>
      </w:r>
    </w:p>
    <w:p w:rsidR="00091660" w:rsidRPr="003300C1" w:rsidRDefault="00091660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lang w:val="sr"/>
        </w:rPr>
        <w:t xml:space="preserve">На тему унапређење услова за одржавање парламентарних избора 2020. године </w:t>
      </w:r>
    </w:p>
    <w:p w:rsidR="00091660" w:rsidRPr="003300C1" w:rsidRDefault="00091660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lang w:val="sr"/>
        </w:rPr>
        <w:t>Београд, 12-13. децембар 2019. године</w:t>
      </w:r>
    </w:p>
    <w:p w:rsidR="00091660" w:rsidRPr="003300C1" w:rsidRDefault="00091660" w:rsidP="00091660">
      <w:pPr>
        <w:rPr>
          <w:rFonts w:eastAsia="Calibri"/>
          <w:sz w:val="22"/>
          <w:szCs w:val="22"/>
        </w:rPr>
      </w:pPr>
    </w:p>
    <w:p w:rsidR="00091660" w:rsidRDefault="00091660" w:rsidP="00091660">
      <w:pPr>
        <w:rPr>
          <w:rFonts w:eastAsia="Calibri"/>
          <w:sz w:val="22"/>
          <w:szCs w:val="22"/>
        </w:rPr>
      </w:pPr>
      <w:r>
        <w:rPr>
          <w:sz w:val="22"/>
          <w:szCs w:val="22"/>
          <w:lang w:val="sr"/>
        </w:rPr>
        <w:t xml:space="preserve">Завршна рунда прве фазе међустраначког дијалога уз посредовање Европског парламента одржана је 12. и 13. децембра у Народној скупштини Републике Србије. На њему је процењено шта је остварено од новембарског </w:t>
      </w:r>
      <w:r>
        <w:rPr>
          <w:i/>
          <w:iCs/>
          <w:sz w:val="22"/>
          <w:szCs w:val="22"/>
          <w:lang w:val="sr"/>
        </w:rPr>
        <w:t xml:space="preserve">другог међустраначког дијалога </w:t>
      </w:r>
      <w:r>
        <w:rPr>
          <w:sz w:val="22"/>
          <w:szCs w:val="22"/>
          <w:lang w:val="sr"/>
        </w:rPr>
        <w:t>и апеловано је да се преузму коначни кораци како би се испуниле обавезе (из „</w:t>
      </w:r>
      <w:r>
        <w:rPr>
          <w:i/>
          <w:iCs/>
          <w:sz w:val="22"/>
          <w:szCs w:val="22"/>
          <w:lang w:val="sr"/>
        </w:rPr>
        <w:t>Табеле испуњавања обавеза</w:t>
      </w:r>
      <w:r>
        <w:rPr>
          <w:sz w:val="22"/>
          <w:szCs w:val="22"/>
          <w:lang w:val="sr"/>
        </w:rPr>
        <w:t>“ која се налази у прилогу) и унапредили услови за одржавање парламентарних избора 2020. године. На дијалогу су поздрављени кораци који су предузети у кратком временском року током три рунде дијалога. Међутим, на дијалогу је инсистирано да од сада до почетка изборне кампање мора постојати усредсређеност на резултате и конкретно спровођење ових обавеза како би се остварила опипљива побољшања у пракси, посебно у области слободе медија и улози регулисања јавних медијских сервиса.</w:t>
      </w:r>
    </w:p>
    <w:p w:rsidR="0017187C" w:rsidRDefault="0017187C" w:rsidP="00091660">
      <w:pPr>
        <w:rPr>
          <w:rFonts w:eastAsia="Calibri"/>
          <w:sz w:val="22"/>
          <w:szCs w:val="22"/>
        </w:rPr>
      </w:pPr>
    </w:p>
    <w:p w:rsidR="0017187C" w:rsidRPr="0017187C" w:rsidRDefault="00DB73E1" w:rsidP="0017187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Иако је остварен напредак у унапређењу рада Републичке изборне комисије (РИК), претварање обавеза у конкретне резултате у строго утврђеним роковима још увек је неопходно у следећим кључним областима:</w:t>
      </w:r>
    </w:p>
    <w:p w:rsidR="00A94745" w:rsidRPr="00D41442" w:rsidRDefault="00A94745" w:rsidP="00A94745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 xml:space="preserve">унапредити рад Регулаторног тела за електронске медије (РЕМ) именовањем „3+2“ нова члана РЕМ, што ће бити потврђено гласањем до краја године. </w:t>
      </w:r>
    </w:p>
    <w:p w:rsidR="0017187C" w:rsidRPr="00D41442" w:rsidRDefault="00D41442" w:rsidP="00D41442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донети нови пропис за јавне медијске сервисе и његова делотворна примена,</w:t>
      </w:r>
    </w:p>
    <w:p w:rsidR="0017187C" w:rsidRPr="00D41442" w:rsidRDefault="00D41442" w:rsidP="00D41442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 xml:space="preserve">основати Надзорни одбор у Народној скупштини и обезбедити његов транспарентан, правовремен и непристрасан рад у оквиру његових надлежности много пре избора, </w:t>
      </w:r>
    </w:p>
    <w:p w:rsidR="00A547BF" w:rsidRPr="00D41442" w:rsidRDefault="00D41442" w:rsidP="00D41442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 xml:space="preserve">спроводити </w:t>
      </w:r>
      <w:r w:rsidR="00B742C9">
        <w:rPr>
          <w:rFonts w:eastAsia="Calibri"/>
          <w:sz w:val="22"/>
          <w:szCs w:val="22"/>
          <w:lang w:val="sr-Cyrl-RS"/>
        </w:rPr>
        <w:t xml:space="preserve">усвојене </w:t>
      </w:r>
      <w:r>
        <w:rPr>
          <w:rFonts w:eastAsia="Calibri"/>
          <w:sz w:val="22"/>
          <w:szCs w:val="22"/>
          <w:lang w:val="sr"/>
        </w:rPr>
        <w:t>измене релевантних закона за унапређење изборних услова у пракси.</w:t>
      </w:r>
    </w:p>
    <w:p w:rsidR="0017187C" w:rsidRDefault="0017187C" w:rsidP="00091660">
      <w:pPr>
        <w:rPr>
          <w:rFonts w:eastAsia="Calibri"/>
          <w:sz w:val="22"/>
          <w:szCs w:val="22"/>
        </w:rPr>
      </w:pPr>
    </w:p>
    <w:p w:rsidR="00E2416F" w:rsidRPr="00E2416F" w:rsidRDefault="00E2416F" w:rsidP="00E2416F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 xml:space="preserve">На дијалогу је постигнут консензус у вези са временским роком, који је предложила Влада, за спровођење свих неостварених обавеза (утврђених у </w:t>
      </w:r>
      <w:r>
        <w:rPr>
          <w:rFonts w:eastAsia="Calibri"/>
          <w:i/>
          <w:iCs/>
          <w:sz w:val="22"/>
          <w:szCs w:val="22"/>
          <w:lang w:val="sr"/>
        </w:rPr>
        <w:t>Табели испуњавања обавеза)</w:t>
      </w:r>
      <w:r>
        <w:rPr>
          <w:rFonts w:eastAsia="Calibri"/>
          <w:sz w:val="22"/>
          <w:szCs w:val="22"/>
          <w:lang w:val="sr"/>
        </w:rPr>
        <w:t xml:space="preserve"> пре почетка изборне кампање како би се свим актерима, посебно грађанима Србије, дала прилика да имају веће поверење у интегритет изборног оквира. Фацилитатори су такође позвали на најшире могуће учешће на изборима како би грађани Србије имали неопходан плуралистичан демократски избор.</w:t>
      </w:r>
    </w:p>
    <w:p w:rsidR="00B05423" w:rsidRDefault="00B05423" w:rsidP="00B05423">
      <w:pPr>
        <w:rPr>
          <w:color w:val="000000" w:themeColor="text1"/>
        </w:rPr>
      </w:pPr>
    </w:p>
    <w:p w:rsidR="00B05423" w:rsidRDefault="00B05423" w:rsidP="00B05423">
      <w:pPr>
        <w:rPr>
          <w:rFonts w:eastAsia="Calibri"/>
          <w:sz w:val="22"/>
          <w:szCs w:val="22"/>
        </w:rPr>
      </w:pPr>
      <w:r>
        <w:rPr>
          <w:color w:val="000000" w:themeColor="text1"/>
          <w:lang w:val="sr"/>
        </w:rPr>
        <w:t xml:space="preserve">Такође смо разговарали о могућности да се, уз пуно поштовање Устава Србије, избори одрже што је могуће касније како би се обезбедило време за остваривање свих обавеза и за све заинтересоване стране, нарочито грађане Србије, да осете пун ефекат унапређења изборних услова. </w:t>
      </w:r>
    </w:p>
    <w:p w:rsidR="00DB73E1" w:rsidRDefault="00DB73E1" w:rsidP="00091660">
      <w:pPr>
        <w:rPr>
          <w:rFonts w:eastAsia="Calibri"/>
          <w:sz w:val="22"/>
          <w:szCs w:val="22"/>
        </w:rPr>
      </w:pPr>
    </w:p>
    <w:p w:rsidR="00286B2E" w:rsidRDefault="00D41442" w:rsidP="00286B2E">
      <w:r>
        <w:rPr>
          <w:rFonts w:eastAsia="Calibri"/>
          <w:sz w:val="22"/>
          <w:szCs w:val="22"/>
          <w:lang w:val="sr"/>
        </w:rPr>
        <w:t xml:space="preserve">Подсећамо све политичке актере у земљи на њихову одговорност да избегавају запаљив језик, да се боре против говора мржње, избегавају све дубље друштвене поделе и да прекину дезинформације у медијима пре, током и након изборне кампање. Доношење новог прописа за јавне медијске сервисе, успостављање Надзорног одбора и нарочито даљи рад на јачању улоге и понашању РЕМ биће важни кораци ка јачању надзора који врше медији и помоћи ће да се обезбеди да све политичке снаге које учествују на изборима имају праведнији приступ и већу заступљеност у медијима. </w:t>
      </w:r>
    </w:p>
    <w:p w:rsidR="00E2416F" w:rsidRDefault="00E2416F" w:rsidP="00091660">
      <w:pPr>
        <w:rPr>
          <w:rFonts w:eastAsia="Calibri"/>
          <w:sz w:val="22"/>
          <w:szCs w:val="22"/>
        </w:rPr>
      </w:pPr>
    </w:p>
    <w:p w:rsidR="002C0DA6" w:rsidRDefault="002C0DA6" w:rsidP="0009166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 xml:space="preserve">На дијалогу је истакнута потреба да се настави са праћењем спровођења свих обавеза у роковима који су утврђени у Табели испуњавања обавеза. Као таквом, на дијалогу је поздрављена понуда фацилитатора из Европског парламента да наставе да прате напредак који </w:t>
      </w:r>
      <w:r>
        <w:rPr>
          <w:rFonts w:eastAsia="Calibri"/>
          <w:sz w:val="22"/>
          <w:szCs w:val="22"/>
          <w:lang w:val="sr"/>
        </w:rPr>
        <w:lastRenderedPageBreak/>
        <w:t xml:space="preserve">се остварује у испуњавању обавеза и констатована је њихова спремност да пруже сваку даљу подршку уколико је Народна скупштина буде тражила. </w:t>
      </w:r>
    </w:p>
    <w:p w:rsidR="002C0DA6" w:rsidRDefault="002C0DA6" w:rsidP="00091660">
      <w:pPr>
        <w:rPr>
          <w:rFonts w:eastAsia="Calibri"/>
          <w:sz w:val="22"/>
          <w:szCs w:val="22"/>
        </w:rPr>
      </w:pPr>
    </w:p>
    <w:p w:rsidR="00771603" w:rsidRDefault="00771603" w:rsidP="0009166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На дијалогу су учесници позвали посматрачку мисију ОЕБС/ОДИХР и друге домаће и међународне посматраче, укључујући делегацију Европског парламента за посматрање избора, да дају своју коначну објективну оцену напретка у спровођењу свих ових обавеза у циљу унапређења услова за одржавање парламентарних избора.</w:t>
      </w:r>
    </w:p>
    <w:p w:rsidR="00771603" w:rsidRPr="003300C1" w:rsidRDefault="00771603" w:rsidP="00091660">
      <w:pPr>
        <w:rPr>
          <w:rFonts w:eastAsia="Calibri"/>
          <w:sz w:val="22"/>
          <w:szCs w:val="22"/>
        </w:rPr>
      </w:pPr>
    </w:p>
    <w:p w:rsidR="00091660" w:rsidRPr="003300C1" w:rsidRDefault="00091660" w:rsidP="00091660">
      <w:pPr>
        <w:rPr>
          <w:rFonts w:eastAsia="Calibri"/>
          <w:iCs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 xml:space="preserve">Предвиђено је да се друга фаза дијалога одржи након парламентарних избора 2020. године и биће усредсређена на дугорочнији циљ унапређења међустраначког дијалога унутар Народне скупштине. То ће укључити реформу Пословника и даљу ревизију свеукупног изборног оквира у складу са извештајима Европске комисије и ОДИХР-а. У другој фази би требало да се говори о разлозима за забринутост који су поменути током дијалога, попут оних које су изразиле националне мањине. </w:t>
      </w:r>
    </w:p>
    <w:p w:rsidR="008765BE" w:rsidRDefault="00E2416F" w:rsidP="00E2416F">
      <w:pPr>
        <w:tabs>
          <w:tab w:val="left" w:pos="2575"/>
        </w:tabs>
      </w:pPr>
      <w:r>
        <w:rPr>
          <w:lang w:val="sr"/>
        </w:rPr>
        <w:tab/>
      </w:r>
    </w:p>
    <w:sectPr w:rsidR="008765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D1" w:rsidRDefault="009035D1">
      <w:r>
        <w:separator/>
      </w:r>
    </w:p>
  </w:endnote>
  <w:endnote w:type="continuationSeparator" w:id="0">
    <w:p w:rsidR="009035D1" w:rsidRDefault="009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D1" w:rsidRDefault="009035D1">
      <w:r>
        <w:separator/>
      </w:r>
    </w:p>
  </w:footnote>
  <w:footnote w:type="continuationSeparator" w:id="0">
    <w:p w:rsidR="009035D1" w:rsidRDefault="0090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12" w:rsidRDefault="000052E4">
    <w:pPr>
      <w:pStyle w:val="Header"/>
    </w:pPr>
    <w:r>
      <w:rPr>
        <w:noProof/>
        <w:lang w:val="en-US"/>
      </w:rPr>
      <w:drawing>
        <wp:inline distT="0" distB="0" distL="0" distR="0">
          <wp:extent cx="1487805" cy="828675"/>
          <wp:effectExtent l="0" t="0" r="0" b="9525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-240030</wp:posOffset>
          </wp:positionV>
          <wp:extent cx="1547495" cy="1228725"/>
          <wp:effectExtent l="0" t="0" r="0" b="0"/>
          <wp:wrapThrough wrapText="bothSides">
            <wp:wrapPolygon edited="0">
              <wp:start x="7711" y="3349"/>
              <wp:lineTo x="5318" y="4688"/>
              <wp:lineTo x="3191" y="7367"/>
              <wp:lineTo x="3191" y="10716"/>
              <wp:lineTo x="8775" y="14735"/>
              <wp:lineTo x="2925" y="14735"/>
              <wp:lineTo x="2659" y="17414"/>
              <wp:lineTo x="5850" y="18084"/>
              <wp:lineTo x="7179" y="18084"/>
              <wp:lineTo x="18347" y="17414"/>
              <wp:lineTo x="18879" y="8037"/>
              <wp:lineTo x="15156" y="4353"/>
              <wp:lineTo x="12763" y="3349"/>
              <wp:lineTo x="7711" y="3349"/>
            </wp:wrapPolygon>
          </wp:wrapThrough>
          <wp:docPr id="29" name="Picture 29" descr="MonoColor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MonoColor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33E1"/>
    <w:multiLevelType w:val="hybridMultilevel"/>
    <w:tmpl w:val="ECC2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C380F"/>
    <w:multiLevelType w:val="hybridMultilevel"/>
    <w:tmpl w:val="93E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60"/>
    <w:rsid w:val="000052E4"/>
    <w:rsid w:val="00091660"/>
    <w:rsid w:val="001209B7"/>
    <w:rsid w:val="0017187C"/>
    <w:rsid w:val="001C352E"/>
    <w:rsid w:val="001F6208"/>
    <w:rsid w:val="00213176"/>
    <w:rsid w:val="00286B2E"/>
    <w:rsid w:val="002C0DA6"/>
    <w:rsid w:val="00372C0E"/>
    <w:rsid w:val="003F1905"/>
    <w:rsid w:val="00427AB5"/>
    <w:rsid w:val="005762E3"/>
    <w:rsid w:val="0063400E"/>
    <w:rsid w:val="00734FE4"/>
    <w:rsid w:val="00771603"/>
    <w:rsid w:val="00790D53"/>
    <w:rsid w:val="007C02BF"/>
    <w:rsid w:val="007D4B77"/>
    <w:rsid w:val="00834D61"/>
    <w:rsid w:val="008765BE"/>
    <w:rsid w:val="009035D1"/>
    <w:rsid w:val="009240D0"/>
    <w:rsid w:val="00983D1A"/>
    <w:rsid w:val="00A547BF"/>
    <w:rsid w:val="00A6259B"/>
    <w:rsid w:val="00A847EE"/>
    <w:rsid w:val="00A94745"/>
    <w:rsid w:val="00B05423"/>
    <w:rsid w:val="00B742C9"/>
    <w:rsid w:val="00BE50A0"/>
    <w:rsid w:val="00C2548C"/>
    <w:rsid w:val="00D41442"/>
    <w:rsid w:val="00D57CD2"/>
    <w:rsid w:val="00DB73E1"/>
    <w:rsid w:val="00E175C7"/>
    <w:rsid w:val="00E2416F"/>
    <w:rsid w:val="00E31A36"/>
    <w:rsid w:val="00E46726"/>
    <w:rsid w:val="00E71F16"/>
    <w:rsid w:val="00E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60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1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60"/>
    <w:rPr>
      <w:rFonts w:ascii="Times New Roman" w:hAnsi="Times New Roman"/>
      <w:sz w:val="24"/>
      <w:szCs w:val="24"/>
    </w:rPr>
  </w:style>
  <w:style w:type="paragraph" w:customStyle="1" w:styleId="Body">
    <w:name w:val="Body"/>
    <w:rsid w:val="00091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60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1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60"/>
    <w:rPr>
      <w:rFonts w:ascii="Times New Roman" w:hAnsi="Times New Roman"/>
      <w:sz w:val="24"/>
      <w:szCs w:val="24"/>
    </w:rPr>
  </w:style>
  <w:style w:type="paragraph" w:customStyle="1" w:styleId="Body">
    <w:name w:val="Body"/>
    <w:rsid w:val="00091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Nikola Pavic</cp:lastModifiedBy>
  <cp:revision>2</cp:revision>
  <dcterms:created xsi:type="dcterms:W3CDTF">2019-12-13T16:15:00Z</dcterms:created>
  <dcterms:modified xsi:type="dcterms:W3CDTF">2019-12-13T16:15:00Z</dcterms:modified>
</cp:coreProperties>
</file>